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8F" w:rsidRDefault="00D9558F">
      <w:pPr>
        <w:rPr>
          <w:b/>
          <w:bCs/>
          <w:color w:val="5B9BD5" w:themeColor="accent1"/>
          <w:sz w:val="18"/>
          <w:szCs w:val="18"/>
          <w:lang w:val="en-GB"/>
        </w:rPr>
      </w:pPr>
      <w:bookmarkStart w:id="0" w:name="_Ref405200865"/>
      <w:r>
        <w:rPr>
          <w:b/>
          <w:bCs/>
          <w:noProof/>
          <w:color w:val="5B9BD5" w:themeColor="accent1"/>
          <w:sz w:val="18"/>
          <w:szCs w:val="18"/>
          <w:lang w:eastAsia="nb-NO"/>
        </w:rPr>
        <w:drawing>
          <wp:inline distT="0" distB="0" distL="0" distR="0" wp14:anchorId="4C081AEA" wp14:editId="6DFD617D">
            <wp:extent cx="3038033" cy="2280062"/>
            <wp:effectExtent l="0" t="0" r="0" b="6350"/>
            <wp:docPr id="1" name="Bilde 1" descr="I:\AVD-Råvare og prosess\nils\EMSC-Raman\Revision\FigureSupportin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VD-Råvare og prosess\nils\EMSC-Raman\Revision\FigureSupporting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85" cy="228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DA" w:rsidRDefault="00401DE8">
      <w:pPr>
        <w:rPr>
          <w:b/>
          <w:bCs/>
          <w:color w:val="5B9BD5" w:themeColor="accent1"/>
          <w:sz w:val="18"/>
          <w:szCs w:val="18"/>
          <w:lang w:val="en-GB"/>
        </w:rPr>
      </w:pPr>
      <w:r w:rsidRPr="005E0475">
        <w:rPr>
          <w:b/>
          <w:bCs/>
          <w:color w:val="5B9BD5" w:themeColor="accent1"/>
          <w:sz w:val="18"/>
          <w:szCs w:val="18"/>
          <w:lang w:val="en-GB"/>
        </w:rPr>
        <w:t xml:space="preserve">Figure </w:t>
      </w:r>
      <w:bookmarkEnd w:id="0"/>
      <w:r w:rsidRPr="005E0475">
        <w:rPr>
          <w:b/>
          <w:bCs/>
          <w:color w:val="5B9BD5" w:themeColor="accent1"/>
          <w:sz w:val="18"/>
          <w:szCs w:val="18"/>
          <w:lang w:val="en-GB"/>
        </w:rPr>
        <w:t>S1: Raman spectra</w:t>
      </w:r>
      <w:r w:rsidR="00EA7D89">
        <w:rPr>
          <w:b/>
          <w:bCs/>
          <w:color w:val="5B9BD5" w:themeColor="accent1"/>
          <w:sz w:val="18"/>
          <w:szCs w:val="18"/>
          <w:lang w:val="en-GB"/>
        </w:rPr>
        <w:t xml:space="preserve"> of milk</w:t>
      </w:r>
      <w:r w:rsidRPr="005E0475">
        <w:rPr>
          <w:b/>
          <w:bCs/>
          <w:color w:val="5B9BD5" w:themeColor="accent1"/>
          <w:sz w:val="18"/>
          <w:szCs w:val="18"/>
          <w:lang w:val="en-GB"/>
        </w:rPr>
        <w:t xml:space="preserve"> after trimming to the region between 3100 cm-1 to 120 cm-1 subjected to Multiplicative Signal Correction.</w:t>
      </w:r>
    </w:p>
    <w:p w:rsidR="00D9558F" w:rsidRDefault="00D9558F">
      <w:pPr>
        <w:rPr>
          <w:b/>
          <w:bCs/>
          <w:color w:val="5B9BD5" w:themeColor="accent1"/>
          <w:sz w:val="18"/>
          <w:szCs w:val="18"/>
          <w:lang w:val="en-GB"/>
        </w:rPr>
      </w:pPr>
    </w:p>
    <w:p w:rsidR="000510F6" w:rsidRDefault="00D9558F">
      <w:pPr>
        <w:rPr>
          <w:b/>
          <w:bCs/>
          <w:color w:val="5B9BD5" w:themeColor="accent1"/>
          <w:sz w:val="18"/>
          <w:szCs w:val="18"/>
          <w:lang w:val="en-GB"/>
        </w:rPr>
      </w:pPr>
      <w:r>
        <w:rPr>
          <w:b/>
          <w:bCs/>
          <w:noProof/>
          <w:color w:val="5B9BD5" w:themeColor="accent1"/>
          <w:sz w:val="18"/>
          <w:szCs w:val="18"/>
          <w:lang w:eastAsia="nb-NO"/>
        </w:rPr>
        <w:drawing>
          <wp:inline distT="0" distB="0" distL="0" distR="0" wp14:anchorId="2E196D86" wp14:editId="208B6EDF">
            <wp:extent cx="2731770" cy="2054321"/>
            <wp:effectExtent l="0" t="0" r="0" b="3175"/>
            <wp:docPr id="2" name="Bilde 2" descr="I:\AVD-Råvare og prosess\nils\EMSC-Raman\Revision\FigureSupportin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VD-Råvare og prosess\nils\EMSC-Raman\Revision\FigureSupporting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33" cy="20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F6" w:rsidRPr="003C26F4" w:rsidRDefault="000510F6" w:rsidP="000510F6">
      <w:pPr>
        <w:pStyle w:val="Bildetekst"/>
      </w:pPr>
      <w:bookmarkStart w:id="1" w:name="_Ref405200975"/>
      <w:r w:rsidRPr="003C26F4">
        <w:t xml:space="preserve">Figure </w:t>
      </w:r>
      <w:bookmarkEnd w:id="1"/>
      <w:r>
        <w:t>S2</w:t>
      </w:r>
      <w:r w:rsidRPr="003C26F4">
        <w:t>: CLA prediction using Raman spectra corrected by various methods.</w:t>
      </w:r>
      <w:r w:rsidRPr="003C26F4" w:rsidDel="00E260D8">
        <w:t xml:space="preserve"> </w:t>
      </w:r>
      <w:r w:rsidRPr="003C26F4">
        <w:t>Minimum RMSECV values for the six strategies are 0.073 (20), 0.072 (20), 0.061 (18), 0.062 (19), 0.061 (16), 0.061 (14), respectively (number of components in parentheses).</w:t>
      </w:r>
      <w:r>
        <w:t xml:space="preserve"> Corresponding RMSEP for the validation data are </w:t>
      </w:r>
      <w:r w:rsidRPr="007D427A">
        <w:t>0.075</w:t>
      </w:r>
      <w:r>
        <w:t xml:space="preserve">, </w:t>
      </w:r>
      <w:r w:rsidRPr="007D427A">
        <w:t>0.07</w:t>
      </w:r>
      <w:r>
        <w:t xml:space="preserve">5, </w:t>
      </w:r>
      <w:r w:rsidRPr="007D427A">
        <w:t>0.062</w:t>
      </w:r>
      <w:r>
        <w:t xml:space="preserve">, </w:t>
      </w:r>
      <w:r w:rsidRPr="007D427A">
        <w:t>0.066</w:t>
      </w:r>
      <w:r>
        <w:t xml:space="preserve">, </w:t>
      </w:r>
      <w:r w:rsidRPr="007D427A">
        <w:t>0.061</w:t>
      </w:r>
      <w:r>
        <w:t xml:space="preserve">, </w:t>
      </w:r>
      <w:r w:rsidRPr="007D427A">
        <w:t>0.06</w:t>
      </w:r>
      <w:r>
        <w:t>2.</w:t>
      </w:r>
      <w:r w:rsidRPr="003C26F4">
        <w:br/>
        <w:t>SNV = standard normal variate, EMSC = extended multiplicative signal correction.</w:t>
      </w:r>
    </w:p>
    <w:p w:rsidR="000510F6" w:rsidRDefault="00D9558F">
      <w:pPr>
        <w:rPr>
          <w:b/>
          <w:bCs/>
          <w:color w:val="5B9BD5" w:themeColor="accent1"/>
          <w:sz w:val="18"/>
          <w:szCs w:val="18"/>
          <w:lang w:val="en-GB"/>
        </w:rPr>
      </w:pPr>
      <w:bookmarkStart w:id="2" w:name="_GoBack"/>
      <w:r>
        <w:rPr>
          <w:b/>
          <w:bCs/>
          <w:noProof/>
          <w:color w:val="5B9BD5" w:themeColor="accent1"/>
          <w:sz w:val="18"/>
          <w:szCs w:val="18"/>
          <w:lang w:eastAsia="nb-NO"/>
        </w:rPr>
        <w:drawing>
          <wp:inline distT="0" distB="0" distL="0" distR="0" wp14:anchorId="02371490" wp14:editId="161C7ADB">
            <wp:extent cx="2968831" cy="2261360"/>
            <wp:effectExtent l="0" t="0" r="3175" b="5715"/>
            <wp:docPr id="3" name="Bilde 3" descr="I:\AVD-Råvare og prosess\nils\EMSC-Raman\Revision\FigureSupporting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VD-Råvare og prosess\nils\EMSC-Raman\Revision\FigureSupporting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08" cy="226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D9558F" w:rsidRDefault="000510F6" w:rsidP="000510F6">
      <w:pPr>
        <w:pStyle w:val="Bildetekst"/>
      </w:pPr>
      <w:bookmarkStart w:id="3" w:name="_Ref405201032"/>
      <w:r w:rsidRPr="003C26F4">
        <w:t xml:space="preserve">Figure </w:t>
      </w:r>
      <w:bookmarkEnd w:id="3"/>
      <w:r w:rsidR="007A5EC3">
        <w:t>S3</w:t>
      </w:r>
      <w:r w:rsidRPr="003C26F4">
        <w:t xml:space="preserve">: Regression coefficient from PLS models predicting the Iodine number and CLA content, respectively. Models use to 10 and </w:t>
      </w:r>
      <w:r w:rsidR="00D10303">
        <w:t>9</w:t>
      </w:r>
      <w:r w:rsidRPr="003C26F4">
        <w:t xml:space="preserve"> components from data corrected by EMSC with </w:t>
      </w:r>
      <w:proofErr w:type="gramStart"/>
      <w:r w:rsidRPr="003C26F4">
        <w:t>6</w:t>
      </w:r>
      <w:r w:rsidRPr="003C26F4">
        <w:rPr>
          <w:vertAlign w:val="superscript"/>
        </w:rPr>
        <w:t>th</w:t>
      </w:r>
      <w:proofErr w:type="gramEnd"/>
      <w:r w:rsidRPr="003C26F4">
        <w:t xml:space="preserve"> order polynomials plus replicate correction. </w:t>
      </w:r>
    </w:p>
    <w:p w:rsidR="000510F6" w:rsidRPr="003C26F4" w:rsidRDefault="000510F6" w:rsidP="000510F6">
      <w:pPr>
        <w:pStyle w:val="Bildetekst"/>
      </w:pPr>
      <w:r w:rsidRPr="003C26F4">
        <w:lastRenderedPageBreak/>
        <w:br/>
      </w:r>
      <w:r w:rsidR="00D9558F">
        <w:rPr>
          <w:b w:val="0"/>
          <w:bCs w:val="0"/>
          <w:noProof/>
          <w:lang w:eastAsia="nb-NO"/>
        </w:rPr>
        <w:drawing>
          <wp:inline distT="0" distB="0" distL="0" distR="0" wp14:anchorId="2EF2DA8C" wp14:editId="35B70354">
            <wp:extent cx="3906981" cy="2932174"/>
            <wp:effectExtent l="0" t="0" r="0" b="1905"/>
            <wp:docPr id="4" name="Bilde 4" descr="I:\AVD-Råvare og prosess\nils\EMSC-Raman\Revision\FigureSupporting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VD-Råvare og prosess\nils\EMSC-Raman\Revision\FigureSupporting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03" cy="29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C3" w:rsidRPr="003C26F4" w:rsidRDefault="007A5EC3" w:rsidP="007A5EC3">
      <w:pPr>
        <w:pStyle w:val="Bildetekst"/>
      </w:pPr>
      <w:bookmarkStart w:id="4" w:name="_Ref414631297"/>
      <w:r w:rsidRPr="003C26F4">
        <w:t xml:space="preserve">Figure </w:t>
      </w:r>
      <w:bookmarkEnd w:id="4"/>
      <w:r>
        <w:t>S4</w:t>
      </w:r>
      <w:r w:rsidRPr="003C26F4">
        <w:t>: Fatty acid prediction from Raman spectra corrected using various methods</w:t>
      </w:r>
      <w:r w:rsidRPr="003C26F4">
        <w:br/>
        <w:t>SNV = standard normal variate, EMSC = extended multiplicative signal correction. Abbreviations: SFA: Total saturated fatty acids (</w:t>
      </w:r>
      <w:proofErr w:type="gramStart"/>
      <w:r w:rsidRPr="003C26F4">
        <w:t>%</w:t>
      </w:r>
      <w:proofErr w:type="gramEnd"/>
      <w:r w:rsidRPr="003C26F4">
        <w:t xml:space="preserve">); MUFA: Total monounsaturated fatty acids (%); PUFA: Total polyunsaturated fatty acids (%). </w:t>
      </w:r>
    </w:p>
    <w:p w:rsidR="000510F6" w:rsidRDefault="00D9558F">
      <w:pPr>
        <w:rPr>
          <w:b/>
          <w:bCs/>
          <w:color w:val="5B9BD5" w:themeColor="accent1"/>
          <w:sz w:val="18"/>
          <w:szCs w:val="18"/>
          <w:lang w:val="en-GB"/>
        </w:rPr>
      </w:pPr>
      <w:r>
        <w:rPr>
          <w:b/>
          <w:bCs/>
          <w:noProof/>
          <w:lang w:eastAsia="nb-NO"/>
        </w:rPr>
        <w:drawing>
          <wp:inline distT="0" distB="0" distL="0" distR="0" wp14:anchorId="29A8A6A8" wp14:editId="460E4FB3">
            <wp:extent cx="3443844" cy="2584626"/>
            <wp:effectExtent l="0" t="0" r="4445" b="6350"/>
            <wp:docPr id="5" name="Bilde 5" descr="I:\AVD-Råvare og prosess\nils\EMSC-Raman\Revision\FigureSupporting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AVD-Råvare og prosess\nils\EMSC-Raman\Revision\FigureSupporting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83" cy="25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03" w:rsidRPr="005E0475" w:rsidRDefault="00D10303">
      <w:pPr>
        <w:rPr>
          <w:b/>
          <w:bCs/>
          <w:color w:val="5B9BD5" w:themeColor="accent1"/>
          <w:sz w:val="18"/>
          <w:szCs w:val="18"/>
          <w:lang w:val="en-GB"/>
        </w:rPr>
      </w:pPr>
      <w:r>
        <w:rPr>
          <w:b/>
          <w:bCs/>
          <w:color w:val="5B9BD5" w:themeColor="accent1"/>
          <w:sz w:val="18"/>
          <w:szCs w:val="18"/>
          <w:lang w:val="en-GB"/>
        </w:rPr>
        <w:t xml:space="preserve">Figure S5: Regression coefficients from PLS models predicting fatty acid contents. Models use 10, 9, 6, and 14 components from data corrected by EMSC with </w:t>
      </w:r>
      <w:proofErr w:type="gramStart"/>
      <w:r>
        <w:rPr>
          <w:b/>
          <w:bCs/>
          <w:color w:val="5B9BD5" w:themeColor="accent1"/>
          <w:sz w:val="18"/>
          <w:szCs w:val="18"/>
          <w:lang w:val="en-GB"/>
        </w:rPr>
        <w:t>6</w:t>
      </w:r>
      <w:r w:rsidRPr="00D10303">
        <w:rPr>
          <w:b/>
          <w:bCs/>
          <w:color w:val="5B9BD5" w:themeColor="accent1"/>
          <w:sz w:val="18"/>
          <w:szCs w:val="18"/>
          <w:vertAlign w:val="superscript"/>
          <w:lang w:val="en-GB"/>
        </w:rPr>
        <w:t>th</w:t>
      </w:r>
      <w:proofErr w:type="gramEnd"/>
      <w:r>
        <w:rPr>
          <w:b/>
          <w:bCs/>
          <w:color w:val="5B9BD5" w:themeColor="accent1"/>
          <w:sz w:val="18"/>
          <w:szCs w:val="18"/>
          <w:lang w:val="en-GB"/>
        </w:rPr>
        <w:t xml:space="preserve"> order polynomials and interferent spectrum.</w:t>
      </w:r>
    </w:p>
    <w:sectPr w:rsidR="00D10303" w:rsidRPr="005E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E8"/>
    <w:rsid w:val="000510F6"/>
    <w:rsid w:val="00401DE8"/>
    <w:rsid w:val="00450ADA"/>
    <w:rsid w:val="005E0475"/>
    <w:rsid w:val="007A5EC3"/>
    <w:rsid w:val="00D10303"/>
    <w:rsid w:val="00D52B88"/>
    <w:rsid w:val="00D9558F"/>
    <w:rsid w:val="00E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204E-A336-4BC3-B4B1-7DCA1FA3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0510F6"/>
    <w:pPr>
      <w:spacing w:after="200" w:line="240" w:lineRule="auto"/>
    </w:pPr>
    <w:rPr>
      <w:b/>
      <w:bCs/>
      <w:color w:val="5B9BD5" w:themeColor="accent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Hovde Liland</dc:creator>
  <cp:keywords/>
  <dc:description/>
  <cp:lastModifiedBy>Kristian Hovde Liland</cp:lastModifiedBy>
  <cp:revision>3</cp:revision>
  <dcterms:created xsi:type="dcterms:W3CDTF">2015-11-30T15:25:00Z</dcterms:created>
  <dcterms:modified xsi:type="dcterms:W3CDTF">2015-12-10T08:17:00Z</dcterms:modified>
</cp:coreProperties>
</file>